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p>
    <w:p>
      <w:pPr>
        <w:rPr>
          <w:rFonts w:hint="eastAsia"/>
          <w:sz w:val="28"/>
          <w:szCs w:val="28"/>
          <w:lang w:eastAsia="zh-CN"/>
        </w:rPr>
      </w:pPr>
    </w:p>
    <w:p>
      <w:pPr>
        <w:jc w:val="center"/>
        <w:rPr>
          <w:rFonts w:ascii="方正小标宋简体" w:hAnsi="方正小标宋简体" w:eastAsia="方正小标宋简体" w:cs="方正小标宋简体"/>
          <w:color w:val="FF0000"/>
          <w:spacing w:val="23"/>
          <w:w w:val="70"/>
          <w:sz w:val="110"/>
          <w:szCs w:val="110"/>
          <w:lang w:eastAsia="zh-CN"/>
        </w:rPr>
      </w:pPr>
      <w:r>
        <w:rPr>
          <w:rFonts w:hint="eastAsia" w:ascii="方正小标宋简体" w:hAnsi="方正小标宋简体" w:eastAsia="方正小标宋简体" w:cs="方正小标宋简体"/>
          <w:color w:val="FF0000"/>
          <w:spacing w:val="23"/>
          <w:w w:val="70"/>
          <w:sz w:val="110"/>
          <w:szCs w:val="110"/>
          <w:lang w:eastAsia="zh-CN"/>
        </w:rPr>
        <w:t>明达职业技术学院文件</w:t>
      </w:r>
    </w:p>
    <w:p>
      <w:pPr>
        <w:rPr>
          <w:rFonts w:hint="eastAsia"/>
          <w:sz w:val="28"/>
          <w:szCs w:val="28"/>
          <w:lang w:eastAsia="zh-CN"/>
        </w:rPr>
      </w:pPr>
    </w:p>
    <w:p>
      <w:pPr>
        <w:rPr>
          <w:sz w:val="28"/>
          <w:szCs w:val="28"/>
          <w:lang w:eastAsia="zh-CN"/>
        </w:rPr>
      </w:pPr>
    </w:p>
    <w:p>
      <w:pPr>
        <w:jc w:val="center"/>
        <w:rPr>
          <w:sz w:val="28"/>
          <w:szCs w:val="28"/>
          <w:lang w:eastAsia="zh-CN"/>
        </w:rPr>
      </w:pPr>
      <w:r>
        <w:rPr>
          <w:rFonts w:hint="eastAsia"/>
          <w:sz w:val="28"/>
          <w:szCs w:val="28"/>
          <w:lang w:eastAsia="zh-CN"/>
        </w:rPr>
        <w:t>明院人字〔</w:t>
      </w:r>
      <w:r>
        <w:rPr>
          <w:sz w:val="28"/>
          <w:szCs w:val="28"/>
          <w:lang w:eastAsia="zh-CN"/>
        </w:rPr>
        <w:t>20</w:t>
      </w:r>
      <w:r>
        <w:rPr>
          <w:rFonts w:hint="eastAsia"/>
          <w:sz w:val="28"/>
          <w:szCs w:val="28"/>
          <w:lang w:eastAsia="zh-CN"/>
        </w:rPr>
        <w:t>23〕12 号</w:t>
      </w:r>
    </w:p>
    <w:p>
      <w:pPr>
        <w:rPr>
          <w:sz w:val="28"/>
          <w:szCs w:val="28"/>
          <w:lang w:eastAsia="zh-CN"/>
        </w:rPr>
      </w:pPr>
    </w:p>
    <w:p>
      <w:pPr>
        <w:rPr>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119380</wp:posOffset>
                </wp:positionV>
                <wp:extent cx="5162550" cy="0"/>
                <wp:effectExtent l="0" t="12700" r="0" b="15875"/>
                <wp:wrapNone/>
                <wp:docPr id="1" name="直接连接符 1"/>
                <wp:cNvGraphicFramePr/>
                <a:graphic xmlns:a="http://schemas.openxmlformats.org/drawingml/2006/main">
                  <a:graphicData uri="http://schemas.microsoft.com/office/word/2010/wordprocessingShape">
                    <wps:wsp>
                      <wps:cNvCnPr/>
                      <wps:spPr>
                        <a:xfrm>
                          <a:off x="1232535" y="3411220"/>
                          <a:ext cx="5162550" cy="0"/>
                        </a:xfrm>
                        <a:prstGeom prst="line">
                          <a:avLst/>
                        </a:prstGeom>
                        <a:ln w="2540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9.4pt;height:0pt;width:406.5pt;z-index:251659264;mso-width-relative:page;mso-height-relative:page;" filled="f" stroked="t" coordsize="21600,21600" o:gfxdata="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srYv/UAAAACAEAAA8AAAAAAAAAAQAgAAAAIgAAAGRycy9kb3ducmV2LnhtbFBLAQIUABQA&#10;AAAIAIdO4kCtQuv79AEAAL4DAAAOAAAAAAAAAAEAIAAAACMBAABkcnMvZTJvRG9jLnhtbFBLBQYA&#10;AAAABgAGAFkBAACJBQAAAAA=&#10;">
                <v:fill on="f" focussize="0,0"/>
                <v:stroke weight="2pt" color="#FF0000 [3204]" miterlimit="8" joinstyle="miter"/>
                <v:imagedata o:title=""/>
                <o:lock v:ext="edit" aspectratio="f"/>
              </v:line>
            </w:pict>
          </mc:Fallback>
        </mc:AlternateContent>
      </w:r>
    </w:p>
    <w:p>
      <w:pPr>
        <w:tabs>
          <w:tab w:val="left" w:pos="8580"/>
        </w:tabs>
        <w:spacing w:before="4" w:line="237" w:lineRule="auto"/>
        <w:ind w:right="10"/>
        <w:jc w:val="center"/>
        <w:rPr>
          <w:rFonts w:ascii="黑体" w:hAnsi="黑体" w:eastAsia="黑体" w:cs="仿宋"/>
          <w:b/>
          <w:bCs/>
          <w:color w:val="1F1F1F"/>
          <w:sz w:val="36"/>
          <w:szCs w:val="36"/>
          <w:lang w:eastAsia="zh-CN"/>
        </w:rPr>
      </w:pPr>
    </w:p>
    <w:p>
      <w:pPr>
        <w:tabs>
          <w:tab w:val="left" w:pos="8580"/>
        </w:tabs>
        <w:spacing w:before="4" w:line="237" w:lineRule="auto"/>
        <w:ind w:right="10"/>
        <w:jc w:val="center"/>
        <w:rPr>
          <w:rFonts w:ascii="方正小标宋简体" w:hAnsi="方正小标宋简体" w:eastAsia="方正小标宋简体" w:cs="仿宋"/>
          <w:b/>
          <w:bCs/>
          <w:color w:val="1F1F1F"/>
          <w:sz w:val="44"/>
          <w:szCs w:val="44"/>
          <w:lang w:eastAsia="zh-CN"/>
        </w:rPr>
      </w:pPr>
      <w:r>
        <w:rPr>
          <w:rFonts w:hint="eastAsia" w:ascii="方正小标宋简体" w:hAnsi="方正小标宋简体" w:eastAsia="方正小标宋简体" w:cs="仿宋"/>
          <w:b/>
          <w:bCs/>
          <w:color w:val="1F1F1F"/>
          <w:sz w:val="44"/>
          <w:szCs w:val="44"/>
          <w:lang w:eastAsia="zh-CN"/>
        </w:rPr>
        <w:t>关于组织开展2023年</w:t>
      </w:r>
    </w:p>
    <w:p>
      <w:pPr>
        <w:tabs>
          <w:tab w:val="left" w:pos="8580"/>
        </w:tabs>
        <w:spacing w:before="4" w:line="237" w:lineRule="auto"/>
        <w:ind w:right="10"/>
        <w:jc w:val="center"/>
        <w:rPr>
          <w:rFonts w:ascii="方正小标宋简体" w:hAnsi="方正小标宋简体" w:eastAsia="方正小标宋简体" w:cs="仿宋"/>
          <w:b/>
          <w:bCs/>
          <w:color w:val="1F1F1F"/>
          <w:sz w:val="44"/>
          <w:szCs w:val="44"/>
          <w:lang w:eastAsia="zh-CN"/>
        </w:rPr>
      </w:pPr>
      <w:r>
        <w:rPr>
          <w:rFonts w:hint="eastAsia" w:ascii="方正小标宋简体" w:hAnsi="方正小标宋简体" w:eastAsia="方正小标宋简体" w:cs="仿宋"/>
          <w:b/>
          <w:bCs/>
          <w:color w:val="1F1F1F"/>
          <w:sz w:val="44"/>
          <w:szCs w:val="44"/>
          <w:lang w:eastAsia="zh-CN"/>
        </w:rPr>
        <w:t>上半年教职工培训工作的通知</w:t>
      </w:r>
    </w:p>
    <w:p>
      <w:pPr>
        <w:pStyle w:val="3"/>
        <w:spacing w:before="12"/>
        <w:rPr>
          <w:rFonts w:ascii="仿宋" w:hAnsi="仿宋" w:eastAsia="仿宋" w:cs="仿宋"/>
          <w:sz w:val="34"/>
          <w:lang w:eastAsia="zh-CN"/>
        </w:rPr>
      </w:pPr>
    </w:p>
    <w:p>
      <w:pPr>
        <w:spacing w:line="700" w:lineRule="exact"/>
        <w:rPr>
          <w:rFonts w:ascii="仿宋_GB2312" w:hAnsi="仿宋" w:eastAsia="仿宋_GB2312"/>
          <w:sz w:val="32"/>
          <w:szCs w:val="28"/>
          <w:lang w:eastAsia="zh-CN"/>
        </w:rPr>
      </w:pPr>
      <w:r>
        <w:rPr>
          <w:rFonts w:hint="eastAsia" w:ascii="仿宋_GB2312" w:hAnsi="仿宋" w:eastAsia="仿宋_GB2312"/>
          <w:sz w:val="32"/>
          <w:szCs w:val="28"/>
          <w:lang w:eastAsia="zh-CN"/>
        </w:rPr>
        <w:t>各学院（部）、处（室、中心）：</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根据集团下发的《关于各学校组织开展2023年上半年教职工培训工作的通知》要求，现将我院培训工作的具体实施方法路径通知如下：</w:t>
      </w:r>
    </w:p>
    <w:p>
      <w:pPr>
        <w:spacing w:line="500" w:lineRule="exact"/>
        <w:ind w:firstLine="643" w:firstLineChars="200"/>
        <w:rPr>
          <w:rFonts w:ascii="仿宋" w:hAnsi="仿宋" w:eastAsia="仿宋"/>
          <w:b/>
          <w:bCs/>
          <w:sz w:val="32"/>
          <w:szCs w:val="28"/>
          <w:lang w:eastAsia="zh-CN"/>
        </w:rPr>
      </w:pPr>
      <w:r>
        <w:rPr>
          <w:rFonts w:hint="eastAsia" w:ascii="仿宋" w:hAnsi="仿宋" w:eastAsia="仿宋"/>
          <w:b/>
          <w:bCs/>
          <w:sz w:val="32"/>
          <w:szCs w:val="28"/>
          <w:lang w:eastAsia="zh-CN"/>
        </w:rPr>
        <w:t>一、培训课程</w:t>
      </w:r>
    </w:p>
    <w:p>
      <w:pPr>
        <w:spacing w:line="500" w:lineRule="exact"/>
        <w:ind w:firstLine="640" w:firstLineChars="200"/>
        <w:rPr>
          <w:rFonts w:ascii="仿宋" w:hAnsi="仿宋" w:eastAsia="仿宋"/>
          <w:b/>
          <w:bCs/>
          <w:color w:val="0C0C0C"/>
          <w:w w:val="105"/>
          <w:sz w:val="32"/>
          <w:szCs w:val="28"/>
          <w:lang w:eastAsia="zh-CN"/>
        </w:rPr>
      </w:pPr>
      <w:r>
        <w:rPr>
          <w:rFonts w:hint="eastAsia" w:ascii="仿宋" w:hAnsi="仿宋" w:eastAsia="仿宋"/>
          <w:sz w:val="32"/>
          <w:szCs w:val="28"/>
          <w:lang w:eastAsia="zh-CN"/>
        </w:rPr>
        <w:t>本次线上培训共10门课程。从建构教职工发展能力模型入手，针对不同岗位序列，提升对应人员的能力，设计发展学习项目，开发专项课程体系，并邀请北京大学、北京师范大学等高校的知名教授与华为等知名企业背景的老师进行了录制，针对全体教职员工，提升综合职业素养能力等课程。线下培训部分，将针对不同岗位组织进行互动课程，并在此基础上配套直播课程。</w:t>
      </w:r>
    </w:p>
    <w:p>
      <w:pPr>
        <w:spacing w:line="500" w:lineRule="exact"/>
        <w:ind w:firstLine="643" w:firstLineChars="200"/>
        <w:rPr>
          <w:rFonts w:ascii="仿宋" w:hAnsi="仿宋" w:eastAsia="仿宋"/>
          <w:b/>
          <w:bCs/>
          <w:sz w:val="32"/>
          <w:szCs w:val="28"/>
          <w:lang w:eastAsia="zh-CN"/>
        </w:rPr>
      </w:pPr>
      <w:r>
        <w:rPr>
          <w:rFonts w:hint="eastAsia" w:ascii="仿宋" w:hAnsi="仿宋" w:eastAsia="仿宋"/>
          <w:b/>
          <w:bCs/>
          <w:sz w:val="32"/>
          <w:szCs w:val="28"/>
          <w:lang w:eastAsia="zh-CN"/>
        </w:rPr>
        <w:t>二、培训对象</w:t>
      </w:r>
    </w:p>
    <w:p>
      <w:pPr>
        <w:spacing w:line="500" w:lineRule="exact"/>
        <w:ind w:firstLine="640" w:firstLineChars="200"/>
        <w:rPr>
          <w:rFonts w:ascii="仿宋" w:hAnsi="仿宋" w:eastAsia="仿宋"/>
          <w:sz w:val="32"/>
          <w:szCs w:val="28"/>
          <w:lang w:eastAsia="zh-CN"/>
        </w:rPr>
      </w:pPr>
      <w:r>
        <w:rPr>
          <w:rFonts w:ascii="仿宋" w:hAnsi="仿宋" w:eastAsia="仿宋"/>
          <w:sz w:val="32"/>
          <w:szCs w:val="28"/>
          <w:lang w:eastAsia="zh-CN"/>
        </w:rPr>
        <w:t>学院全体教职员工</w:t>
      </w:r>
      <w:r>
        <w:rPr>
          <w:rFonts w:hint="eastAsia" w:ascii="仿宋" w:hAnsi="仿宋" w:eastAsia="仿宋"/>
          <w:sz w:val="32"/>
          <w:szCs w:val="28"/>
          <w:lang w:eastAsia="zh-CN"/>
        </w:rPr>
        <w:t>及外包服务人员</w:t>
      </w:r>
      <w:r>
        <w:rPr>
          <w:rFonts w:ascii="仿宋" w:hAnsi="仿宋" w:eastAsia="仿宋"/>
          <w:sz w:val="32"/>
          <w:szCs w:val="28"/>
          <w:lang w:eastAsia="zh-CN"/>
        </w:rPr>
        <w:t>。</w:t>
      </w:r>
    </w:p>
    <w:p>
      <w:pPr>
        <w:spacing w:line="500" w:lineRule="exact"/>
        <w:ind w:firstLine="643" w:firstLineChars="200"/>
        <w:rPr>
          <w:rFonts w:ascii="仿宋" w:hAnsi="仿宋" w:eastAsia="仿宋"/>
          <w:b/>
          <w:bCs/>
          <w:sz w:val="32"/>
          <w:szCs w:val="28"/>
          <w:lang w:eastAsia="zh-CN"/>
        </w:rPr>
      </w:pPr>
      <w:r>
        <w:rPr>
          <w:rFonts w:hint="eastAsia" w:ascii="仿宋" w:hAnsi="仿宋" w:eastAsia="仿宋"/>
          <w:b/>
          <w:bCs/>
          <w:sz w:val="32"/>
          <w:szCs w:val="28"/>
          <w:lang w:eastAsia="zh-CN"/>
        </w:rPr>
        <w:t>三、培训形式</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本次培训以线上线下相结合的形式开展，依托统一的数字化学习平台，教职工按要求登陆平台并参加既定课程的学习，培训时长纳入教职员工继续教育学时。自有工勤及外包服务人员由集团外协单位统一负责落实相关课程培训。</w:t>
      </w:r>
    </w:p>
    <w:p>
      <w:pPr>
        <w:spacing w:line="500" w:lineRule="exact"/>
        <w:ind w:firstLine="643" w:firstLineChars="200"/>
        <w:rPr>
          <w:rFonts w:ascii="仿宋" w:hAnsi="仿宋" w:eastAsia="仿宋"/>
          <w:b/>
          <w:bCs/>
          <w:sz w:val="32"/>
          <w:szCs w:val="28"/>
          <w:lang w:eastAsia="zh-CN"/>
        </w:rPr>
      </w:pPr>
      <w:r>
        <w:rPr>
          <w:rFonts w:hint="eastAsia" w:ascii="仿宋" w:hAnsi="仿宋" w:eastAsia="仿宋"/>
          <w:b/>
          <w:bCs/>
          <w:sz w:val="32"/>
          <w:szCs w:val="28"/>
          <w:lang w:eastAsia="zh-CN"/>
        </w:rPr>
        <w:t>四、培训工作具体安排</w:t>
      </w:r>
    </w:p>
    <w:p>
      <w:pPr>
        <w:spacing w:line="500" w:lineRule="exact"/>
        <w:ind w:firstLine="640" w:firstLineChars="200"/>
        <w:rPr>
          <w:rFonts w:ascii="仿宋" w:hAnsi="仿宋" w:eastAsia="仿宋"/>
          <w:sz w:val="32"/>
          <w:szCs w:val="28"/>
          <w:lang w:eastAsia="zh-CN"/>
        </w:rPr>
      </w:pPr>
      <w:r>
        <w:rPr>
          <w:rFonts w:hint="eastAsia" w:ascii="仿宋" w:hAnsi="仿宋" w:eastAsia="仿宋"/>
          <w:color w:val="0C0C0C"/>
          <w:sz w:val="32"/>
          <w:szCs w:val="28"/>
          <w:lang w:eastAsia="zh-CN"/>
        </w:rPr>
        <w:t>（一）培</w:t>
      </w:r>
      <w:r>
        <w:rPr>
          <w:rFonts w:hint="eastAsia" w:ascii="仿宋" w:hAnsi="仿宋" w:eastAsia="仿宋"/>
          <w:sz w:val="32"/>
          <w:szCs w:val="28"/>
          <w:lang w:eastAsia="zh-CN"/>
        </w:rPr>
        <w:t xml:space="preserve">训推进和完成时间要求   </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培训</w:t>
      </w:r>
      <w:r>
        <w:rPr>
          <w:rFonts w:hint="eastAsia" w:ascii="仿宋" w:hAnsi="仿宋" w:eastAsia="仿宋"/>
          <w:b/>
          <w:bCs/>
          <w:sz w:val="32"/>
          <w:szCs w:val="28"/>
          <w:lang w:eastAsia="zh-CN"/>
        </w:rPr>
        <w:t>开放</w:t>
      </w:r>
      <w:r>
        <w:rPr>
          <w:rFonts w:hint="eastAsia" w:ascii="仿宋" w:hAnsi="仿宋" w:eastAsia="仿宋"/>
          <w:sz w:val="32"/>
          <w:szCs w:val="28"/>
          <w:lang w:eastAsia="zh-CN"/>
        </w:rPr>
        <w:t>周期：2023 年 05 月 04 日至2023 年 06 月 19 日</w:t>
      </w:r>
      <w:r>
        <w:rPr>
          <w:rFonts w:hint="eastAsia" w:ascii="仿宋" w:hAnsi="仿宋" w:eastAsia="仿宋"/>
          <w:spacing w:val="30"/>
          <w:sz w:val="32"/>
          <w:szCs w:val="28"/>
          <w:lang w:eastAsia="zh-CN"/>
        </w:rPr>
        <w:t>；</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培训</w:t>
      </w:r>
      <w:r>
        <w:rPr>
          <w:rFonts w:hint="eastAsia" w:ascii="仿宋" w:hAnsi="仿宋" w:eastAsia="仿宋"/>
          <w:b/>
          <w:bCs/>
          <w:sz w:val="32"/>
          <w:szCs w:val="28"/>
          <w:lang w:eastAsia="zh-CN"/>
        </w:rPr>
        <w:t>总结材料</w:t>
      </w:r>
      <w:r>
        <w:rPr>
          <w:rFonts w:hint="eastAsia" w:ascii="仿宋" w:hAnsi="仿宋" w:eastAsia="仿宋"/>
          <w:sz w:val="32"/>
          <w:szCs w:val="28"/>
          <w:lang w:eastAsia="zh-CN"/>
        </w:rPr>
        <w:t>上报截止日期：2023 年 06 月 20 日（星期二）</w:t>
      </w:r>
      <w:r>
        <w:rPr>
          <w:rFonts w:hint="eastAsia" w:ascii="仿宋" w:hAnsi="仿宋" w:eastAsia="仿宋"/>
          <w:spacing w:val="21"/>
          <w:sz w:val="32"/>
          <w:szCs w:val="28"/>
          <w:lang w:eastAsia="zh-CN"/>
        </w:rPr>
        <w:t>；</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此次培训为2023年上半年首期教职工线上培训，人均课程门数为1-6 门课，人均学习时长为 2-12 小时，请各位合理安排学习时间，务必在 45 日学习期内足额完成所有学时。</w:t>
      </w:r>
    </w:p>
    <w:p>
      <w:pPr>
        <w:spacing w:line="500" w:lineRule="exact"/>
        <w:ind w:firstLine="640" w:firstLineChars="200"/>
        <w:rPr>
          <w:rFonts w:ascii="仿宋" w:hAnsi="仿宋" w:eastAsia="仿宋"/>
          <w:color w:val="0C0C0C"/>
          <w:sz w:val="32"/>
          <w:szCs w:val="28"/>
          <w:lang w:eastAsia="zh-CN"/>
        </w:rPr>
      </w:pPr>
      <w:r>
        <w:rPr>
          <w:rFonts w:hint="eastAsia" w:ascii="仿宋" w:hAnsi="仿宋" w:eastAsia="仿宋"/>
          <w:color w:val="0C0C0C"/>
          <w:sz w:val="32"/>
          <w:szCs w:val="28"/>
          <w:lang w:eastAsia="zh-CN"/>
        </w:rPr>
        <w:t>（二）培训过程管理和结果产出</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为保证培训切实有效，入眼入脑入心，帮助教职工顺利、有序完成本次学习，请各部门负责人按照过程管理和结果产出的原则结合本部门实际情况，除安排好部门职工线上学习外，还可不定期组织开展学习研讨会、学习竞赛、学习分享会等形式的活动（活动须拍照留底），巩固学习成果。</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人事处作为此次培训任务的牵头落实部门，将对所有教职工的学习进度、学习时长以及各部门的活动开展情况进行过程管理和动态跟踪，对于进度或时长严重滞后以及部门活动开展缓慢等情况将酌情给予催办、督办直至通报批评等处理措施，各单位和个人参加培训情况，将作为年度考核评优的重要参考。</w:t>
      </w:r>
    </w:p>
    <w:p>
      <w:pPr>
        <w:spacing w:line="500" w:lineRule="exact"/>
        <w:ind w:right="-268" w:rightChars="-122" w:firstLine="640" w:firstLineChars="200"/>
        <w:rPr>
          <w:rFonts w:ascii="仿宋" w:hAnsi="仿宋" w:eastAsia="仿宋"/>
          <w:sz w:val="32"/>
          <w:szCs w:val="28"/>
          <w:lang w:eastAsia="zh-CN"/>
        </w:rPr>
      </w:pPr>
      <w:r>
        <w:rPr>
          <w:rFonts w:hint="eastAsia" w:ascii="仿宋" w:hAnsi="仿宋" w:eastAsia="仿宋"/>
          <w:sz w:val="32"/>
          <w:szCs w:val="28"/>
          <w:lang w:eastAsia="zh-CN"/>
        </w:rPr>
        <w:t>各单位须将学习过程相关的图文资料以及培训总结按要求提报至人事处备案，于 2023 年 06 月 20 日前发送至邮箱272250154@qq.com，资料提交要求详见附件1。</w:t>
      </w:r>
    </w:p>
    <w:p>
      <w:pPr>
        <w:spacing w:line="500" w:lineRule="exact"/>
        <w:ind w:firstLine="643" w:firstLineChars="200"/>
        <w:rPr>
          <w:rFonts w:ascii="仿宋" w:hAnsi="仿宋" w:eastAsia="仿宋"/>
          <w:b/>
          <w:bCs/>
          <w:sz w:val="32"/>
          <w:szCs w:val="28"/>
          <w:lang w:eastAsia="zh-CN"/>
        </w:rPr>
      </w:pPr>
      <w:r>
        <w:rPr>
          <w:rFonts w:hint="eastAsia" w:ascii="仿宋" w:hAnsi="仿宋" w:eastAsia="仿宋"/>
          <w:b/>
          <w:bCs/>
          <w:sz w:val="32"/>
          <w:szCs w:val="28"/>
          <w:lang w:eastAsia="zh-CN"/>
        </w:rPr>
        <w:t>五、培训系统登录步骤</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1、教职工点击登录链接后，直接输入账号、密码、验证码即可进入“个人中心”；</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2、点击“我的课程”开始逐门课程学习，每门课程下有可能存在多节课，需完成各节课学习；</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3、点击课程视频开始学习时，屏幕将弹出验证码窗口，输入验证码后即可观看视频。</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登录方法详见附件2。</w:t>
      </w:r>
    </w:p>
    <w:p>
      <w:pPr>
        <w:spacing w:line="500" w:lineRule="exact"/>
        <w:ind w:firstLine="643" w:firstLineChars="200"/>
        <w:rPr>
          <w:rFonts w:ascii="仿宋" w:hAnsi="仿宋" w:eastAsia="仿宋"/>
          <w:b/>
          <w:bCs/>
          <w:color w:val="0F0F0F"/>
          <w:sz w:val="32"/>
          <w:szCs w:val="28"/>
          <w:lang w:eastAsia="zh-CN"/>
        </w:rPr>
      </w:pPr>
      <w:r>
        <w:rPr>
          <w:rFonts w:hint="eastAsia" w:ascii="仿宋" w:hAnsi="仿宋" w:eastAsia="仿宋"/>
          <w:b/>
          <w:bCs/>
          <w:color w:val="0F0F0F"/>
          <w:sz w:val="32"/>
          <w:szCs w:val="28"/>
          <w:lang w:eastAsia="zh-CN"/>
        </w:rPr>
        <w:t>六、培训工作服务人员</w:t>
      </w:r>
    </w:p>
    <w:p>
      <w:pPr>
        <w:spacing w:line="500" w:lineRule="exact"/>
        <w:ind w:firstLine="640" w:firstLineChars="200"/>
        <w:rPr>
          <w:rFonts w:ascii="仿宋" w:hAnsi="仿宋" w:eastAsia="仿宋"/>
          <w:sz w:val="32"/>
          <w:szCs w:val="28"/>
          <w:lang w:eastAsia="zh-CN"/>
        </w:rPr>
      </w:pPr>
      <w:r>
        <w:rPr>
          <w:rFonts w:hint="eastAsia" w:ascii="仿宋" w:hAnsi="仿宋" w:eastAsia="仿宋"/>
          <w:sz w:val="32"/>
          <w:szCs w:val="28"/>
          <w:lang w:eastAsia="zh-CN"/>
        </w:rPr>
        <w:t>培训系统操作答疑联系人：周炜熠；电话：15365778802</w:t>
      </w:r>
    </w:p>
    <w:p>
      <w:pPr>
        <w:spacing w:line="500" w:lineRule="exact"/>
        <w:ind w:firstLine="640" w:firstLineChars="200"/>
        <w:rPr>
          <w:rFonts w:ascii="仿宋" w:hAnsi="仿宋" w:eastAsia="仿宋"/>
          <w:sz w:val="32"/>
          <w:szCs w:val="28"/>
          <w:lang w:eastAsia="zh-CN"/>
        </w:rPr>
      </w:pPr>
    </w:p>
    <w:p>
      <w:pPr>
        <w:spacing w:line="500" w:lineRule="exact"/>
        <w:rPr>
          <w:rFonts w:ascii="仿宋" w:hAnsi="仿宋" w:eastAsia="仿宋"/>
          <w:sz w:val="32"/>
          <w:szCs w:val="28"/>
          <w:lang w:eastAsia="zh-CN"/>
        </w:rPr>
      </w:pPr>
    </w:p>
    <w:p>
      <w:pPr>
        <w:pStyle w:val="3"/>
        <w:spacing w:before="81"/>
        <w:rPr>
          <w:rFonts w:ascii="仿宋" w:hAnsi="仿宋" w:eastAsia="仿宋" w:cs="仿宋"/>
          <w:color w:val="1F1F1F"/>
          <w:sz w:val="32"/>
          <w:szCs w:val="28"/>
          <w:lang w:eastAsia="zh-CN"/>
        </w:rPr>
      </w:pPr>
      <w:r>
        <w:rPr>
          <w:rFonts w:ascii="仿宋" w:hAnsi="仿宋" w:eastAsia="仿宋" w:cs="仿宋"/>
          <w:color w:val="1F1F1F"/>
          <w:sz w:val="32"/>
          <w:szCs w:val="28"/>
          <w:lang w:eastAsia="zh-CN"/>
        </w:rPr>
        <w:t>附件</w:t>
      </w:r>
      <w:r>
        <w:rPr>
          <w:rFonts w:hint="eastAsia" w:ascii="仿宋" w:hAnsi="仿宋" w:eastAsia="仿宋" w:cs="仿宋"/>
          <w:color w:val="1F1F1F"/>
          <w:sz w:val="32"/>
          <w:szCs w:val="28"/>
          <w:lang w:eastAsia="zh-CN"/>
        </w:rPr>
        <w:t>1：培训总结提交要求。</w:t>
      </w:r>
    </w:p>
    <w:tbl>
      <w:tblPr>
        <w:tblStyle w:val="5"/>
        <w:tblW w:w="9213" w:type="dxa"/>
        <w:tblInd w:w="93" w:type="dxa"/>
        <w:tblLayout w:type="fixed"/>
        <w:tblCellMar>
          <w:top w:w="0" w:type="dxa"/>
          <w:left w:w="108" w:type="dxa"/>
          <w:bottom w:w="0" w:type="dxa"/>
          <w:right w:w="108" w:type="dxa"/>
        </w:tblCellMar>
      </w:tblPr>
      <w:tblGrid>
        <w:gridCol w:w="863"/>
        <w:gridCol w:w="2631"/>
        <w:gridCol w:w="4350"/>
        <w:gridCol w:w="1369"/>
      </w:tblGrid>
      <w:tr>
        <w:tblPrEx>
          <w:tblCellMar>
            <w:top w:w="0" w:type="dxa"/>
            <w:left w:w="108" w:type="dxa"/>
            <w:bottom w:w="0" w:type="dxa"/>
            <w:right w:w="108" w:type="dxa"/>
          </w:tblCellMar>
        </w:tblPrEx>
        <w:trPr>
          <w:trHeight w:val="5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32"/>
                <w:szCs w:val="28"/>
              </w:rPr>
            </w:pPr>
            <w:r>
              <w:rPr>
                <w:rFonts w:hint="eastAsia" w:ascii="仿宋" w:hAnsi="仿宋" w:eastAsia="仿宋" w:cs="仿宋"/>
                <w:b/>
                <w:bCs/>
                <w:color w:val="000000"/>
                <w:sz w:val="32"/>
                <w:szCs w:val="28"/>
                <w:lang w:eastAsia="zh-CN" w:bidi="ar"/>
              </w:rPr>
              <w:t>序号</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32"/>
                <w:szCs w:val="28"/>
              </w:rPr>
            </w:pPr>
            <w:r>
              <w:rPr>
                <w:rFonts w:hint="eastAsia" w:ascii="仿宋" w:hAnsi="仿宋" w:eastAsia="仿宋" w:cs="仿宋"/>
                <w:b/>
                <w:bCs/>
                <w:color w:val="000000"/>
                <w:sz w:val="32"/>
                <w:szCs w:val="28"/>
                <w:lang w:eastAsia="zh-CN" w:bidi="ar"/>
              </w:rPr>
              <w:t>提交资料内容</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32"/>
                <w:szCs w:val="28"/>
              </w:rPr>
            </w:pPr>
            <w:r>
              <w:rPr>
                <w:rFonts w:hint="eastAsia" w:ascii="仿宋" w:hAnsi="仿宋" w:eastAsia="仿宋" w:cs="仿宋"/>
                <w:b/>
                <w:bCs/>
                <w:color w:val="000000"/>
                <w:sz w:val="32"/>
                <w:szCs w:val="28"/>
                <w:lang w:eastAsia="zh-CN" w:bidi="ar"/>
              </w:rPr>
              <w:t>格式要求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32"/>
                <w:szCs w:val="28"/>
              </w:rPr>
            </w:pPr>
            <w:r>
              <w:rPr>
                <w:rFonts w:hint="eastAsia" w:ascii="仿宋" w:hAnsi="仿宋" w:eastAsia="仿宋" w:cs="仿宋"/>
                <w:b/>
                <w:bCs/>
                <w:color w:val="000000"/>
                <w:sz w:val="32"/>
                <w:szCs w:val="28"/>
                <w:lang w:eastAsia="zh-CN" w:bidi="ar"/>
              </w:rPr>
              <w:t>备注</w:t>
            </w:r>
          </w:p>
        </w:tc>
      </w:tr>
      <w:tr>
        <w:tblPrEx>
          <w:tblCellMar>
            <w:top w:w="0" w:type="dxa"/>
            <w:left w:w="108" w:type="dxa"/>
            <w:bottom w:w="0" w:type="dxa"/>
            <w:right w:w="108" w:type="dxa"/>
          </w:tblCellMar>
        </w:tblPrEx>
        <w:trPr>
          <w:trHeight w:val="107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28"/>
              </w:rPr>
            </w:pPr>
            <w:r>
              <w:rPr>
                <w:rFonts w:hint="eastAsia" w:ascii="仿宋" w:hAnsi="仿宋" w:eastAsia="仿宋" w:cs="仿宋"/>
                <w:color w:val="000000"/>
                <w:sz w:val="32"/>
                <w:szCs w:val="28"/>
                <w:lang w:eastAsia="zh-CN" w:bidi="ar"/>
              </w:rPr>
              <w:t>1</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28"/>
              </w:rPr>
            </w:pPr>
            <w:r>
              <w:rPr>
                <w:rFonts w:hint="eastAsia" w:ascii="仿宋" w:hAnsi="仿宋" w:eastAsia="仿宋" w:cs="仿宋"/>
                <w:color w:val="000000"/>
                <w:sz w:val="32"/>
                <w:szCs w:val="28"/>
                <w:lang w:eastAsia="zh-CN" w:bidi="ar"/>
              </w:rPr>
              <w:t>培训总结或心得</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28"/>
                <w:lang w:eastAsia="zh-CN"/>
              </w:rPr>
            </w:pPr>
            <w:r>
              <w:rPr>
                <w:rFonts w:hint="eastAsia" w:ascii="仿宋" w:hAnsi="仿宋" w:eastAsia="仿宋" w:cs="仿宋"/>
                <w:color w:val="000000"/>
                <w:sz w:val="32"/>
                <w:szCs w:val="28"/>
                <w:lang w:eastAsia="zh-CN" w:bidi="ar"/>
              </w:rPr>
              <w:t>Word或PPT形式（含培训现场照片）</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32"/>
                <w:szCs w:val="28"/>
                <w:lang w:eastAsia="zh-CN"/>
              </w:rPr>
            </w:pPr>
          </w:p>
        </w:tc>
      </w:tr>
      <w:tr>
        <w:tblPrEx>
          <w:tblCellMar>
            <w:top w:w="0" w:type="dxa"/>
            <w:left w:w="108" w:type="dxa"/>
            <w:bottom w:w="0" w:type="dxa"/>
            <w:right w:w="108" w:type="dxa"/>
          </w:tblCellMar>
        </w:tblPrEx>
        <w:trPr>
          <w:trHeight w:val="5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28"/>
              </w:rPr>
            </w:pPr>
            <w:r>
              <w:rPr>
                <w:rFonts w:hint="eastAsia" w:ascii="仿宋" w:hAnsi="仿宋" w:eastAsia="仿宋" w:cs="仿宋"/>
                <w:color w:val="000000"/>
                <w:sz w:val="32"/>
                <w:szCs w:val="28"/>
                <w:lang w:eastAsia="zh-CN" w:bidi="ar"/>
              </w:rPr>
              <w:t>2</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28"/>
              </w:rPr>
            </w:pPr>
            <w:r>
              <w:rPr>
                <w:rFonts w:hint="eastAsia" w:ascii="仿宋" w:hAnsi="仿宋" w:eastAsia="仿宋" w:cs="仿宋"/>
                <w:color w:val="000000"/>
                <w:sz w:val="32"/>
                <w:szCs w:val="28"/>
                <w:lang w:eastAsia="zh-CN" w:bidi="ar"/>
              </w:rPr>
              <w:t>其他材料</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28"/>
              </w:rPr>
            </w:pPr>
            <w:r>
              <w:rPr>
                <w:rFonts w:hint="eastAsia" w:ascii="仿宋" w:hAnsi="仿宋" w:eastAsia="仿宋" w:cs="仿宋"/>
                <w:color w:val="000000"/>
                <w:sz w:val="32"/>
                <w:szCs w:val="28"/>
                <w:lang w:eastAsia="zh-CN" w:bidi="ar"/>
              </w:rPr>
              <w:t>形式不限</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32"/>
                <w:szCs w:val="28"/>
              </w:rPr>
            </w:pPr>
          </w:p>
        </w:tc>
      </w:tr>
    </w:tbl>
    <w:p>
      <w:pPr>
        <w:pStyle w:val="8"/>
        <w:tabs>
          <w:tab w:val="left" w:pos="2050"/>
        </w:tabs>
        <w:spacing w:before="151"/>
        <w:ind w:left="0" w:firstLine="0"/>
        <w:rPr>
          <w:rFonts w:ascii="仿宋" w:hAnsi="仿宋" w:eastAsia="仿宋" w:cs="仿宋"/>
          <w:color w:val="0A0A0A"/>
          <w:sz w:val="32"/>
          <w:szCs w:val="28"/>
          <w:lang w:eastAsia="zh-CN"/>
        </w:rPr>
      </w:pPr>
      <w:r>
        <w:rPr>
          <w:rFonts w:hint="eastAsia" w:ascii="仿宋" w:hAnsi="仿宋" w:eastAsia="仿宋" w:cs="仿宋"/>
          <w:color w:val="0A0A0A"/>
          <w:sz w:val="32"/>
          <w:szCs w:val="28"/>
          <w:lang w:eastAsia="zh-CN"/>
        </w:rPr>
        <w:t>附件2：明达职业技术学院教职工培训系统登录操作指南（另附）</w:t>
      </w:r>
    </w:p>
    <w:p>
      <w:pPr>
        <w:pStyle w:val="8"/>
        <w:tabs>
          <w:tab w:val="left" w:pos="2050"/>
        </w:tabs>
        <w:spacing w:before="151"/>
        <w:ind w:left="0" w:firstLine="0"/>
        <w:rPr>
          <w:rFonts w:ascii="仿宋" w:hAnsi="仿宋" w:eastAsia="仿宋" w:cs="仿宋"/>
          <w:color w:val="0A0A0A"/>
          <w:sz w:val="32"/>
          <w:szCs w:val="28"/>
          <w:lang w:eastAsia="zh-CN"/>
        </w:rPr>
      </w:pPr>
    </w:p>
    <w:p>
      <w:pPr>
        <w:tabs>
          <w:tab w:val="left" w:pos="2972"/>
        </w:tabs>
        <w:spacing w:before="172" w:line="358" w:lineRule="auto"/>
        <w:ind w:right="10" w:firstLine="640" w:firstLineChars="200"/>
        <w:jc w:val="right"/>
        <w:rPr>
          <w:rFonts w:ascii="仿宋" w:hAnsi="仿宋" w:eastAsia="仿宋" w:cs="仿宋"/>
          <w:color w:val="1F1F1F"/>
          <w:sz w:val="32"/>
          <w:szCs w:val="28"/>
          <w:lang w:eastAsia="zh-CN"/>
        </w:rPr>
      </w:pPr>
      <w:r>
        <w:rPr>
          <w:rFonts w:hint="eastAsia" w:ascii="仿宋" w:hAnsi="仿宋" w:eastAsia="仿宋" w:cs="仿宋"/>
          <w:color w:val="1F1F1F"/>
          <w:sz w:val="32"/>
          <w:szCs w:val="28"/>
          <w:lang w:eastAsia="zh-CN"/>
        </w:rPr>
        <w:t>明达职业技术学院人事处</w:t>
      </w:r>
    </w:p>
    <w:p>
      <w:pPr>
        <w:tabs>
          <w:tab w:val="left" w:pos="2972"/>
        </w:tabs>
        <w:spacing w:before="172" w:line="358" w:lineRule="auto"/>
        <w:ind w:right="10" w:firstLine="640" w:firstLineChars="200"/>
        <w:rPr>
          <w:rFonts w:ascii="仿宋" w:hAnsi="仿宋" w:eastAsia="仿宋"/>
          <w:sz w:val="32"/>
          <w:szCs w:val="28"/>
          <w:lang w:eastAsia="zh-CN"/>
        </w:rPr>
        <w:sectPr>
          <w:pgSz w:w="11910" w:h="16840"/>
          <w:pgMar w:top="1440" w:right="1800" w:bottom="1440" w:left="1800" w:header="720" w:footer="720" w:gutter="0"/>
          <w:cols w:space="720" w:num="1"/>
          <w:docGrid w:linePitch="299" w:charSpace="0"/>
        </w:sectPr>
      </w:pPr>
      <w:r>
        <w:rPr>
          <w:rFonts w:hint="eastAsia" w:ascii="仿宋" w:hAnsi="仿宋" w:eastAsia="仿宋" w:cs="仿宋"/>
          <w:color w:val="1F1F1F"/>
          <w:sz w:val="32"/>
          <w:szCs w:val="28"/>
          <w:lang w:eastAsia="zh-CN"/>
        </w:rPr>
        <w:t xml:space="preserve">                                 2023年5月4日</w:t>
      </w:r>
    </w:p>
    <w:p>
      <w:pPr>
        <w:pStyle w:val="3"/>
        <w:spacing w:before="81"/>
        <w:rPr>
          <w:rFonts w:ascii="仿宋" w:hAnsi="仿宋" w:eastAsia="仿宋" w:cs="仿宋"/>
          <w:color w:val="0A0A0A"/>
          <w:sz w:val="32"/>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GMwNjRhM2IwMGY5ODQwZjIxNWYwNzQ2ODkyOWUifQ=="/>
  </w:docVars>
  <w:rsids>
    <w:rsidRoot w:val="775B0D9F"/>
    <w:rsid w:val="003D127C"/>
    <w:rsid w:val="00476A60"/>
    <w:rsid w:val="007B0B34"/>
    <w:rsid w:val="007E580E"/>
    <w:rsid w:val="009805DE"/>
    <w:rsid w:val="009A1470"/>
    <w:rsid w:val="009F2967"/>
    <w:rsid w:val="00C20F88"/>
    <w:rsid w:val="00C61385"/>
    <w:rsid w:val="00E4700F"/>
    <w:rsid w:val="00EC0CDD"/>
    <w:rsid w:val="00FE3BFB"/>
    <w:rsid w:val="01D46B46"/>
    <w:rsid w:val="01F176F8"/>
    <w:rsid w:val="0345208E"/>
    <w:rsid w:val="05DD1E07"/>
    <w:rsid w:val="063A7025"/>
    <w:rsid w:val="0765096C"/>
    <w:rsid w:val="089723D0"/>
    <w:rsid w:val="09656DCF"/>
    <w:rsid w:val="0BAC2F9C"/>
    <w:rsid w:val="0BE04A65"/>
    <w:rsid w:val="0C0A1A93"/>
    <w:rsid w:val="0C3309AC"/>
    <w:rsid w:val="0C6471A0"/>
    <w:rsid w:val="0C8C0749"/>
    <w:rsid w:val="0F735BF1"/>
    <w:rsid w:val="112278CE"/>
    <w:rsid w:val="12093B7B"/>
    <w:rsid w:val="127A7296"/>
    <w:rsid w:val="13250FB0"/>
    <w:rsid w:val="14213FC1"/>
    <w:rsid w:val="14C377BA"/>
    <w:rsid w:val="16F210F4"/>
    <w:rsid w:val="177B1AE6"/>
    <w:rsid w:val="1A0464F1"/>
    <w:rsid w:val="1AF75928"/>
    <w:rsid w:val="1B143E9C"/>
    <w:rsid w:val="1B967FA7"/>
    <w:rsid w:val="1C1222ED"/>
    <w:rsid w:val="1C4A5F2B"/>
    <w:rsid w:val="1C8F2539"/>
    <w:rsid w:val="1D4B1F5B"/>
    <w:rsid w:val="1EBD29E4"/>
    <w:rsid w:val="1F417171"/>
    <w:rsid w:val="1F5C3FAB"/>
    <w:rsid w:val="21C808F7"/>
    <w:rsid w:val="220A3C81"/>
    <w:rsid w:val="220C3968"/>
    <w:rsid w:val="226A7178"/>
    <w:rsid w:val="22B1460E"/>
    <w:rsid w:val="232B5CC0"/>
    <w:rsid w:val="29C70504"/>
    <w:rsid w:val="2C947B55"/>
    <w:rsid w:val="2D55028C"/>
    <w:rsid w:val="2E613C69"/>
    <w:rsid w:val="2E891598"/>
    <w:rsid w:val="2EC4391B"/>
    <w:rsid w:val="2EC9779A"/>
    <w:rsid w:val="3002304B"/>
    <w:rsid w:val="31B92820"/>
    <w:rsid w:val="31F84007"/>
    <w:rsid w:val="35BD018C"/>
    <w:rsid w:val="3A4B6C9E"/>
    <w:rsid w:val="3BC767F9"/>
    <w:rsid w:val="3C0D6901"/>
    <w:rsid w:val="3CD72A6B"/>
    <w:rsid w:val="3D8C5F4C"/>
    <w:rsid w:val="3E353EED"/>
    <w:rsid w:val="401D2E8B"/>
    <w:rsid w:val="4081341A"/>
    <w:rsid w:val="41C07F72"/>
    <w:rsid w:val="42A47894"/>
    <w:rsid w:val="4364553F"/>
    <w:rsid w:val="443A225E"/>
    <w:rsid w:val="44807817"/>
    <w:rsid w:val="47D44402"/>
    <w:rsid w:val="4A4E246D"/>
    <w:rsid w:val="4B5B46F5"/>
    <w:rsid w:val="4B7C7600"/>
    <w:rsid w:val="4CC76658"/>
    <w:rsid w:val="4CC900F8"/>
    <w:rsid w:val="4D1B0752"/>
    <w:rsid w:val="4F585C8E"/>
    <w:rsid w:val="51A11B6E"/>
    <w:rsid w:val="520933DB"/>
    <w:rsid w:val="522B77E3"/>
    <w:rsid w:val="571701DC"/>
    <w:rsid w:val="577C78E9"/>
    <w:rsid w:val="588D5B94"/>
    <w:rsid w:val="58C47EF0"/>
    <w:rsid w:val="58F971BD"/>
    <w:rsid w:val="5B0E0C18"/>
    <w:rsid w:val="5BF34169"/>
    <w:rsid w:val="5D3A4C25"/>
    <w:rsid w:val="5E622685"/>
    <w:rsid w:val="5E7F0B74"/>
    <w:rsid w:val="5ED0334E"/>
    <w:rsid w:val="5EE55B6B"/>
    <w:rsid w:val="5FA03F79"/>
    <w:rsid w:val="61CB46C5"/>
    <w:rsid w:val="64436AB5"/>
    <w:rsid w:val="6465058B"/>
    <w:rsid w:val="648275DD"/>
    <w:rsid w:val="64842F2C"/>
    <w:rsid w:val="65363F24"/>
    <w:rsid w:val="65984BDE"/>
    <w:rsid w:val="66CC0D72"/>
    <w:rsid w:val="675B2F4B"/>
    <w:rsid w:val="6787315C"/>
    <w:rsid w:val="67BA708E"/>
    <w:rsid w:val="6AB20E19"/>
    <w:rsid w:val="6B2A452A"/>
    <w:rsid w:val="6B3A0841"/>
    <w:rsid w:val="6BFF7765"/>
    <w:rsid w:val="6CAF118B"/>
    <w:rsid w:val="6D1A412B"/>
    <w:rsid w:val="6ED00810"/>
    <w:rsid w:val="6F073967"/>
    <w:rsid w:val="70221C74"/>
    <w:rsid w:val="716D46A2"/>
    <w:rsid w:val="7185714C"/>
    <w:rsid w:val="73D46DAE"/>
    <w:rsid w:val="743412B1"/>
    <w:rsid w:val="75B04091"/>
    <w:rsid w:val="775B0D9F"/>
    <w:rsid w:val="77B21B30"/>
    <w:rsid w:val="7AA240DD"/>
    <w:rsid w:val="7BB816DF"/>
    <w:rsid w:val="7E2E5696"/>
    <w:rsid w:val="7EB42631"/>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07"/>
      <w:outlineLvl w:val="0"/>
    </w:pPr>
    <w:rPr>
      <w:sz w:val="31"/>
      <w:szCs w:val="31"/>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9"/>
      <w:szCs w:val="29"/>
    </w:rPr>
  </w:style>
  <w:style w:type="paragraph" w:styleId="4">
    <w:name w:val="Balloon Text"/>
    <w:basedOn w:val="1"/>
    <w:link w:val="9"/>
    <w:uiPriority w:val="0"/>
    <w:rPr>
      <w:sz w:val="18"/>
      <w:szCs w:val="18"/>
    </w:rPr>
  </w:style>
  <w:style w:type="character" w:styleId="7">
    <w:name w:val="Hyperlink"/>
    <w:basedOn w:val="6"/>
    <w:uiPriority w:val="0"/>
    <w:rPr>
      <w:color w:val="0000FF"/>
      <w:u w:val="single"/>
    </w:rPr>
  </w:style>
  <w:style w:type="paragraph" w:styleId="8">
    <w:name w:val="List Paragraph"/>
    <w:basedOn w:val="1"/>
    <w:qFormat/>
    <w:uiPriority w:val="1"/>
    <w:pPr>
      <w:spacing w:before="56"/>
      <w:ind w:left="150" w:firstLine="618"/>
    </w:pPr>
  </w:style>
  <w:style w:type="character" w:customStyle="1" w:styleId="9">
    <w:name w:val="批注框文本 Char"/>
    <w:basedOn w:val="6"/>
    <w:link w:val="4"/>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202</Words>
  <Characters>1154</Characters>
  <Lines>9</Lines>
  <Paragraphs>2</Paragraphs>
  <TotalTime>159</TotalTime>
  <ScaleCrop>false</ScaleCrop>
  <LinksUpToDate>false</LinksUpToDate>
  <CharactersWithSpaces>1354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2022-11-02T08:45:00Z</dcterms:created>
  <dc:creator>Administrator</dc:creator>
  <cp:lastModifiedBy>Administrator</cp:lastModifiedBy>
  <cp:lastPrinted>2023-05-04T07:52:00Z</cp:lastPrinted>
  <dcterms:modified xsi:type="dcterms:W3CDTF">2023-05-04T09:17:29Z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F2AD4C8BC8A840BE8D1F282BC2689CE6</vt:lpwstr>
  </property>
</Properties>
</file>